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71A6" w:rsidRDefault="002846CC" w:rsidP="00C50A9F">
      <w:pPr>
        <w:jc w:val="both"/>
      </w:pPr>
      <w:r>
        <w:rPr>
          <w:noProof/>
          <w:lang w:eastAsia="fr-FR"/>
        </w:rPr>
        <w:pict>
          <v:shapetype id="_x0000_t202" coordsize="21600,21600" o:spt="202" path="m,l,21600r21600,l21600,xe">
            <v:stroke joinstyle="miter"/>
            <v:path gradientshapeok="t" o:connecttype="rect"/>
          </v:shapetype>
          <v:shape id="_x0000_s1026" type="#_x0000_t202" style="position:absolute;left:0;text-align:left;margin-left:152.65pt;margin-top:-25.1pt;width:139.5pt;height:29.25pt;z-index:251658240" stroked="f">
            <v:textbox>
              <w:txbxContent>
                <w:p w:rsidR="006C7934" w:rsidRPr="006C7934" w:rsidRDefault="006C7934" w:rsidP="006C7934">
                  <w:pPr>
                    <w:jc w:val="center"/>
                    <w:rPr>
                      <w:b/>
                      <w:sz w:val="32"/>
                      <w:szCs w:val="32"/>
                    </w:rPr>
                  </w:pPr>
                  <w:r w:rsidRPr="006C7934">
                    <w:rPr>
                      <w:b/>
                      <w:sz w:val="32"/>
                      <w:szCs w:val="32"/>
                    </w:rPr>
                    <w:t>ANNEXE 13</w:t>
                  </w:r>
                </w:p>
              </w:txbxContent>
            </v:textbox>
          </v:shape>
        </w:pict>
      </w:r>
    </w:p>
    <w:tbl>
      <w:tblPr>
        <w:tblStyle w:val="Grilledutableau"/>
        <w:tblW w:w="0" w:type="auto"/>
        <w:tblBorders>
          <w:bottom w:val="none" w:sz="0" w:space="0" w:color="auto"/>
          <w:insideH w:val="none" w:sz="0" w:space="0" w:color="auto"/>
          <w:insideV w:val="none" w:sz="0" w:space="0" w:color="auto"/>
        </w:tblBorders>
        <w:shd w:val="clear" w:color="auto" w:fill="00B0F0"/>
        <w:tblLook w:val="04A0"/>
      </w:tblPr>
      <w:tblGrid>
        <w:gridCol w:w="9062"/>
      </w:tblGrid>
      <w:tr w:rsidR="00743BF6" w:rsidTr="00743BF6">
        <w:tc>
          <w:tcPr>
            <w:tcW w:w="9062" w:type="dxa"/>
            <w:shd w:val="clear" w:color="auto" w:fill="00B0F0"/>
          </w:tcPr>
          <w:p w:rsidR="00743BF6" w:rsidRDefault="00743BF6" w:rsidP="00C50A9F">
            <w:pPr>
              <w:pStyle w:val="Default"/>
              <w:jc w:val="both"/>
              <w:rPr>
                <w:b/>
                <w:bCs/>
                <w:i/>
                <w:iCs/>
                <w:sz w:val="22"/>
                <w:szCs w:val="22"/>
              </w:rPr>
            </w:pPr>
          </w:p>
          <w:p w:rsidR="00743BF6" w:rsidRPr="00743BF6" w:rsidRDefault="00743BF6" w:rsidP="00C50A9F">
            <w:pPr>
              <w:pStyle w:val="Default"/>
              <w:jc w:val="both"/>
              <w:rPr>
                <w:sz w:val="28"/>
                <w:szCs w:val="28"/>
              </w:rPr>
            </w:pPr>
            <w:r>
              <w:rPr>
                <w:b/>
                <w:bCs/>
                <w:i/>
                <w:iCs/>
                <w:sz w:val="28"/>
                <w:szCs w:val="28"/>
              </w:rPr>
              <w:t>Les crédits spécifiques Politique de la V</w:t>
            </w:r>
            <w:r w:rsidRPr="00743BF6">
              <w:rPr>
                <w:b/>
                <w:bCs/>
                <w:i/>
                <w:iCs/>
                <w:sz w:val="28"/>
                <w:szCs w:val="28"/>
              </w:rPr>
              <w:t>ille de la Région Hauts de France</w:t>
            </w:r>
          </w:p>
          <w:p w:rsidR="00743BF6" w:rsidRDefault="00743BF6" w:rsidP="00C50A9F">
            <w:pPr>
              <w:pStyle w:val="Default"/>
              <w:jc w:val="both"/>
              <w:rPr>
                <w:b/>
                <w:bCs/>
                <w:i/>
                <w:iCs/>
                <w:sz w:val="22"/>
                <w:szCs w:val="22"/>
              </w:rPr>
            </w:pPr>
          </w:p>
        </w:tc>
      </w:tr>
    </w:tbl>
    <w:p w:rsidR="00743BF6" w:rsidRDefault="00743BF6" w:rsidP="00C50A9F">
      <w:pPr>
        <w:pStyle w:val="Default"/>
        <w:jc w:val="both"/>
        <w:rPr>
          <w:sz w:val="22"/>
          <w:szCs w:val="22"/>
        </w:rPr>
      </w:pPr>
    </w:p>
    <w:p w:rsidR="00743BF6" w:rsidRDefault="00743BF6" w:rsidP="00C50A9F">
      <w:pPr>
        <w:jc w:val="both"/>
        <w:rPr>
          <w:sz w:val="22"/>
          <w:szCs w:val="22"/>
        </w:rPr>
      </w:pPr>
      <w:r>
        <w:rPr>
          <w:sz w:val="22"/>
          <w:szCs w:val="22"/>
        </w:rPr>
        <w:t>Ces crédits spécifiques comportent des crédits en fonctionnement, qui peuvent être mobilisés, dans le cadre et selon les modalités du présent appel à projet :</w:t>
      </w:r>
    </w:p>
    <w:p w:rsidR="00743BF6" w:rsidRDefault="00743BF6" w:rsidP="00C50A9F">
      <w:pPr>
        <w:jc w:val="both"/>
      </w:pPr>
      <w:r>
        <w:rPr>
          <w:sz w:val="22"/>
          <w:szCs w:val="22"/>
        </w:rPr>
        <w:tab/>
        <w:t>- jusqu'à 70% du coût total du projet en crédit de fonctionnement (</w:t>
      </w:r>
      <w:r>
        <w:t>dans la mesure du possible, la part de la Région sollicitée doit être supérieure ou égale à 5 000 €),</w:t>
      </w:r>
    </w:p>
    <w:p w:rsidR="00743BF6" w:rsidRPr="00743BF6" w:rsidRDefault="00743BF6" w:rsidP="00C50A9F">
      <w:pPr>
        <w:jc w:val="both"/>
      </w:pPr>
      <w:r>
        <w:tab/>
        <w:t xml:space="preserve">- </w:t>
      </w:r>
      <w:r>
        <w:rPr>
          <w:sz w:val="22"/>
          <w:szCs w:val="22"/>
        </w:rPr>
        <w:t>des crédits en investissement qui peuvent être mobilisés également jusqu'à 70% (50% pour les projets portés par les communes)</w:t>
      </w:r>
      <w:r w:rsidR="003411C4">
        <w:rPr>
          <w:sz w:val="22"/>
          <w:szCs w:val="22"/>
        </w:rPr>
        <w:t>.</w:t>
      </w:r>
    </w:p>
    <w:p w:rsidR="00743BF6" w:rsidRDefault="00743BF6" w:rsidP="00C50A9F">
      <w:pPr>
        <w:pStyle w:val="Default"/>
        <w:jc w:val="both"/>
        <w:rPr>
          <w:sz w:val="22"/>
          <w:szCs w:val="22"/>
        </w:rPr>
      </w:pPr>
      <w:r>
        <w:rPr>
          <w:sz w:val="22"/>
          <w:szCs w:val="22"/>
        </w:rPr>
        <w:t xml:space="preserve">Le cadre d'intervention régional en faveur des quartiers de la Politique de la Ville se décompose en deux volets : </w:t>
      </w:r>
    </w:p>
    <w:p w:rsidR="00D96C23" w:rsidRDefault="00D96C23" w:rsidP="00C50A9F">
      <w:pPr>
        <w:pStyle w:val="Default"/>
        <w:jc w:val="both"/>
        <w:rPr>
          <w:sz w:val="22"/>
          <w:szCs w:val="22"/>
        </w:rPr>
      </w:pPr>
    </w:p>
    <w:tbl>
      <w:tblPr>
        <w:tblStyle w:val="Grilledutableau"/>
        <w:tblW w:w="0" w:type="auto"/>
        <w:shd w:val="clear" w:color="auto" w:fill="FFFF00"/>
        <w:tblLook w:val="04A0"/>
      </w:tblPr>
      <w:tblGrid>
        <w:gridCol w:w="9062"/>
      </w:tblGrid>
      <w:tr w:rsidR="00D96C23" w:rsidTr="00D96C23">
        <w:tc>
          <w:tcPr>
            <w:tcW w:w="9062" w:type="dxa"/>
            <w:shd w:val="clear" w:color="auto" w:fill="FFFF00"/>
          </w:tcPr>
          <w:p w:rsidR="00D96C23" w:rsidRPr="00D96C23" w:rsidRDefault="00D96C23" w:rsidP="00C50A9F">
            <w:pPr>
              <w:pStyle w:val="Default"/>
              <w:jc w:val="both"/>
              <w:rPr>
                <w:sz w:val="22"/>
                <w:szCs w:val="22"/>
              </w:rPr>
            </w:pPr>
            <w:r>
              <w:rPr>
                <w:b/>
                <w:bCs/>
                <w:i/>
                <w:iCs/>
                <w:sz w:val="22"/>
                <w:szCs w:val="22"/>
              </w:rPr>
              <w:t xml:space="preserve">Le soutien régional à l'emploi et à l’innovation qui repose sur : </w:t>
            </w:r>
          </w:p>
        </w:tc>
      </w:tr>
    </w:tbl>
    <w:p w:rsidR="00743BF6" w:rsidRDefault="00743BF6" w:rsidP="00C50A9F">
      <w:pPr>
        <w:pStyle w:val="Default"/>
        <w:jc w:val="both"/>
        <w:rPr>
          <w:sz w:val="22"/>
          <w:szCs w:val="22"/>
        </w:rPr>
      </w:pPr>
    </w:p>
    <w:p w:rsidR="00743BF6" w:rsidRPr="00D96C23" w:rsidRDefault="00743BF6" w:rsidP="00C50A9F">
      <w:pPr>
        <w:pStyle w:val="Default"/>
        <w:jc w:val="both"/>
        <w:rPr>
          <w:b/>
          <w:bCs/>
          <w:color w:val="002060"/>
        </w:rPr>
      </w:pPr>
      <w:r w:rsidRPr="00D96C23">
        <w:rPr>
          <w:b/>
          <w:bCs/>
          <w:color w:val="002060"/>
        </w:rPr>
        <w:t xml:space="preserve">A/ Des « figures imposées » : </w:t>
      </w:r>
    </w:p>
    <w:p w:rsidR="00D96C23" w:rsidRDefault="00D96C23" w:rsidP="00C50A9F">
      <w:pPr>
        <w:pStyle w:val="Default"/>
        <w:jc w:val="both"/>
        <w:rPr>
          <w:sz w:val="22"/>
          <w:szCs w:val="22"/>
        </w:rPr>
      </w:pPr>
    </w:p>
    <w:p w:rsidR="00743BF6" w:rsidRDefault="00743BF6" w:rsidP="00C50A9F">
      <w:pPr>
        <w:pStyle w:val="Default"/>
        <w:jc w:val="both"/>
        <w:rPr>
          <w:sz w:val="22"/>
          <w:szCs w:val="22"/>
        </w:rPr>
      </w:pPr>
      <w:r>
        <w:rPr>
          <w:sz w:val="22"/>
          <w:szCs w:val="22"/>
        </w:rPr>
        <w:t xml:space="preserve">Elles concernent des opérations que la Région souhaite voir se déployer en référence avec ses priorités et les leviers d’actions que sont le numérique, l’innovation sociale et la participation des habitants : </w:t>
      </w:r>
    </w:p>
    <w:p w:rsidR="00D96C23" w:rsidRDefault="00D96C23" w:rsidP="00C50A9F">
      <w:pPr>
        <w:pStyle w:val="Default"/>
        <w:jc w:val="both"/>
        <w:rPr>
          <w:sz w:val="22"/>
          <w:szCs w:val="22"/>
        </w:rPr>
      </w:pPr>
    </w:p>
    <w:p w:rsidR="00D96C23" w:rsidRDefault="00743BF6" w:rsidP="00C50A9F">
      <w:pPr>
        <w:pStyle w:val="Default"/>
        <w:jc w:val="both"/>
        <w:rPr>
          <w:b/>
          <w:bCs/>
          <w:sz w:val="22"/>
          <w:szCs w:val="22"/>
        </w:rPr>
      </w:pPr>
      <w:r w:rsidRPr="00D96C23">
        <w:rPr>
          <w:b/>
          <w:bCs/>
          <w:sz w:val="22"/>
          <w:szCs w:val="22"/>
          <w:u w:val="single"/>
        </w:rPr>
        <w:t>Priorité 1 : Renforcer le développement économique et l’accès à l’emploi des habitants des quartiers</w:t>
      </w:r>
      <w:r>
        <w:rPr>
          <w:b/>
          <w:bCs/>
          <w:sz w:val="22"/>
          <w:szCs w:val="22"/>
        </w:rPr>
        <w:t xml:space="preserve"> : </w:t>
      </w:r>
    </w:p>
    <w:p w:rsidR="00D96C23" w:rsidRDefault="00D96C23" w:rsidP="00C50A9F">
      <w:pPr>
        <w:pStyle w:val="Default"/>
        <w:jc w:val="both"/>
        <w:rPr>
          <w:b/>
          <w:bCs/>
          <w:sz w:val="22"/>
          <w:szCs w:val="22"/>
        </w:rPr>
      </w:pPr>
    </w:p>
    <w:p w:rsidR="00743BF6" w:rsidRDefault="00743BF6" w:rsidP="00C50A9F">
      <w:pPr>
        <w:pStyle w:val="Default"/>
        <w:jc w:val="both"/>
        <w:rPr>
          <w:sz w:val="22"/>
          <w:szCs w:val="22"/>
        </w:rPr>
      </w:pPr>
      <w:r>
        <w:rPr>
          <w:sz w:val="22"/>
          <w:szCs w:val="22"/>
        </w:rPr>
        <w:t xml:space="preserve">La Région portera un intérêt particulier aux projets permettant de : </w:t>
      </w:r>
    </w:p>
    <w:p w:rsidR="00D96C23" w:rsidRDefault="00D96C23" w:rsidP="00C50A9F">
      <w:pPr>
        <w:pStyle w:val="Default"/>
        <w:jc w:val="both"/>
        <w:rPr>
          <w:sz w:val="22"/>
          <w:szCs w:val="22"/>
        </w:rPr>
      </w:pPr>
    </w:p>
    <w:p w:rsidR="00743BF6" w:rsidRPr="00D96C23" w:rsidRDefault="00743BF6" w:rsidP="00C50A9F">
      <w:pPr>
        <w:pStyle w:val="Default"/>
        <w:spacing w:after="51"/>
        <w:ind w:left="708"/>
        <w:jc w:val="both"/>
        <w:rPr>
          <w:sz w:val="22"/>
          <w:szCs w:val="22"/>
        </w:rPr>
      </w:pPr>
      <w:r w:rsidRPr="00D96C23">
        <w:rPr>
          <w:rFonts w:ascii="Wingdings" w:hAnsi="Wingdings" w:cs="Wingdings"/>
          <w:b/>
          <w:sz w:val="22"/>
          <w:szCs w:val="22"/>
        </w:rPr>
        <w:t></w:t>
      </w:r>
      <w:r w:rsidRPr="00D96C23">
        <w:rPr>
          <w:rFonts w:ascii="Wingdings" w:hAnsi="Wingdings" w:cs="Wingdings"/>
          <w:sz w:val="22"/>
          <w:szCs w:val="22"/>
        </w:rPr>
        <w:t></w:t>
      </w:r>
      <w:r w:rsidRPr="00D96C23">
        <w:rPr>
          <w:bCs/>
          <w:sz w:val="22"/>
          <w:szCs w:val="22"/>
        </w:rPr>
        <w:t xml:space="preserve">Renforcer l’accompagnement des jeunes les moins qualifiés vers la formation et l’emploi; </w:t>
      </w:r>
    </w:p>
    <w:p w:rsidR="00743BF6" w:rsidRPr="00D96C23" w:rsidRDefault="00743BF6" w:rsidP="00C50A9F">
      <w:pPr>
        <w:pStyle w:val="Default"/>
        <w:spacing w:after="51"/>
        <w:ind w:left="708"/>
        <w:jc w:val="both"/>
        <w:rPr>
          <w:sz w:val="22"/>
          <w:szCs w:val="22"/>
        </w:rPr>
      </w:pPr>
      <w:r w:rsidRPr="00D96C23">
        <w:rPr>
          <w:rFonts w:ascii="Wingdings" w:hAnsi="Wingdings" w:cs="Wingdings"/>
          <w:b/>
          <w:sz w:val="22"/>
          <w:szCs w:val="22"/>
        </w:rPr>
        <w:t></w:t>
      </w:r>
      <w:r w:rsidRPr="00D96C23">
        <w:rPr>
          <w:rFonts w:ascii="Wingdings" w:hAnsi="Wingdings" w:cs="Wingdings"/>
          <w:sz w:val="22"/>
          <w:szCs w:val="22"/>
        </w:rPr>
        <w:t></w:t>
      </w:r>
      <w:r w:rsidRPr="00D96C23">
        <w:rPr>
          <w:bCs/>
          <w:sz w:val="22"/>
          <w:szCs w:val="22"/>
        </w:rPr>
        <w:t xml:space="preserve">Soutenir les actions contre le décrochage scolaire et l’illettrisme; </w:t>
      </w:r>
    </w:p>
    <w:p w:rsidR="00743BF6" w:rsidRPr="00D96C23" w:rsidRDefault="00743BF6" w:rsidP="00C50A9F">
      <w:pPr>
        <w:pStyle w:val="Default"/>
        <w:spacing w:after="51"/>
        <w:ind w:left="708"/>
        <w:jc w:val="both"/>
        <w:rPr>
          <w:sz w:val="22"/>
          <w:szCs w:val="22"/>
        </w:rPr>
      </w:pPr>
      <w:r w:rsidRPr="00D96C23">
        <w:rPr>
          <w:rFonts w:ascii="Wingdings" w:hAnsi="Wingdings" w:cs="Wingdings"/>
          <w:b/>
          <w:sz w:val="22"/>
          <w:szCs w:val="22"/>
        </w:rPr>
        <w:t></w:t>
      </w:r>
      <w:r w:rsidRPr="00D96C23">
        <w:rPr>
          <w:rFonts w:ascii="Wingdings" w:hAnsi="Wingdings" w:cs="Wingdings"/>
          <w:sz w:val="22"/>
          <w:szCs w:val="22"/>
        </w:rPr>
        <w:t></w:t>
      </w:r>
      <w:r w:rsidRPr="00D96C23">
        <w:rPr>
          <w:bCs/>
          <w:sz w:val="22"/>
          <w:szCs w:val="22"/>
        </w:rPr>
        <w:t xml:space="preserve">Favoriser l’accès à l’apprentissage; </w:t>
      </w:r>
    </w:p>
    <w:p w:rsidR="00743BF6" w:rsidRPr="00D96C23" w:rsidRDefault="00743BF6" w:rsidP="00C50A9F">
      <w:pPr>
        <w:pStyle w:val="Default"/>
        <w:spacing w:after="51"/>
        <w:ind w:left="708"/>
        <w:jc w:val="both"/>
        <w:rPr>
          <w:sz w:val="22"/>
          <w:szCs w:val="22"/>
        </w:rPr>
      </w:pPr>
      <w:r w:rsidRPr="00D96C23">
        <w:rPr>
          <w:rFonts w:ascii="Wingdings" w:hAnsi="Wingdings" w:cs="Wingdings"/>
          <w:b/>
          <w:sz w:val="22"/>
          <w:szCs w:val="22"/>
        </w:rPr>
        <w:t></w:t>
      </w:r>
      <w:r w:rsidRPr="00D96C23">
        <w:rPr>
          <w:rFonts w:ascii="Wingdings" w:hAnsi="Wingdings" w:cs="Wingdings"/>
          <w:sz w:val="22"/>
          <w:szCs w:val="22"/>
        </w:rPr>
        <w:t></w:t>
      </w:r>
      <w:r w:rsidRPr="00D96C23">
        <w:rPr>
          <w:bCs/>
          <w:sz w:val="22"/>
          <w:szCs w:val="22"/>
        </w:rPr>
        <w:t>Stimuler et conforter le développement économique au sein des quartiers prioritaires</w:t>
      </w:r>
      <w:r w:rsidRPr="00D96C23">
        <w:rPr>
          <w:sz w:val="22"/>
          <w:szCs w:val="22"/>
        </w:rPr>
        <w:t xml:space="preserve">; </w:t>
      </w:r>
    </w:p>
    <w:p w:rsidR="00743BF6" w:rsidRPr="00D96C23" w:rsidRDefault="00743BF6" w:rsidP="00C50A9F">
      <w:pPr>
        <w:pStyle w:val="Default"/>
        <w:ind w:left="708"/>
        <w:jc w:val="both"/>
        <w:rPr>
          <w:sz w:val="22"/>
          <w:szCs w:val="22"/>
        </w:rPr>
      </w:pPr>
      <w:r w:rsidRPr="00D96C23">
        <w:rPr>
          <w:rFonts w:ascii="Wingdings" w:hAnsi="Wingdings" w:cs="Wingdings"/>
          <w:b/>
          <w:sz w:val="22"/>
          <w:szCs w:val="22"/>
        </w:rPr>
        <w:t></w:t>
      </w:r>
      <w:r w:rsidRPr="00D96C23">
        <w:rPr>
          <w:rFonts w:ascii="Wingdings" w:hAnsi="Wingdings" w:cs="Wingdings"/>
          <w:sz w:val="22"/>
          <w:szCs w:val="22"/>
        </w:rPr>
        <w:t></w:t>
      </w:r>
      <w:r w:rsidRPr="00D96C23">
        <w:rPr>
          <w:bCs/>
          <w:sz w:val="22"/>
          <w:szCs w:val="22"/>
        </w:rPr>
        <w:t>Favoriser l’insertion par l’emploi et l’entrepreneuriat, notamment grâce au développement de l’économie sociale et solidaire (ESS), du commerce et de l’artisanat</w:t>
      </w:r>
      <w:r w:rsidRPr="00D96C23">
        <w:rPr>
          <w:sz w:val="22"/>
          <w:szCs w:val="22"/>
        </w:rPr>
        <w:t xml:space="preserve">. </w:t>
      </w:r>
    </w:p>
    <w:p w:rsidR="00743BF6" w:rsidRDefault="00743BF6" w:rsidP="00C50A9F">
      <w:pPr>
        <w:pStyle w:val="Default"/>
        <w:jc w:val="both"/>
        <w:rPr>
          <w:sz w:val="22"/>
          <w:szCs w:val="22"/>
        </w:rPr>
      </w:pPr>
    </w:p>
    <w:p w:rsidR="00D96C23" w:rsidRDefault="00743BF6" w:rsidP="00C50A9F">
      <w:pPr>
        <w:pStyle w:val="Default"/>
        <w:jc w:val="both"/>
        <w:rPr>
          <w:sz w:val="22"/>
          <w:szCs w:val="22"/>
        </w:rPr>
      </w:pPr>
      <w:r>
        <w:rPr>
          <w:b/>
          <w:bCs/>
          <w:sz w:val="22"/>
          <w:szCs w:val="22"/>
        </w:rPr>
        <w:t xml:space="preserve">Priorité 2 : Contribuer à la mise en </w:t>
      </w:r>
      <w:r w:rsidR="00D96C23">
        <w:rPr>
          <w:b/>
          <w:bCs/>
          <w:sz w:val="22"/>
          <w:szCs w:val="22"/>
        </w:rPr>
        <w:t>œuvre</w:t>
      </w:r>
      <w:r>
        <w:rPr>
          <w:b/>
          <w:bCs/>
          <w:sz w:val="22"/>
          <w:szCs w:val="22"/>
        </w:rPr>
        <w:t xml:space="preserve"> de la Troisième Révolution Industrielle (TRI) – Rev3 </w:t>
      </w:r>
      <w:r>
        <w:rPr>
          <w:sz w:val="22"/>
          <w:szCs w:val="22"/>
        </w:rPr>
        <w:t xml:space="preserve">: </w:t>
      </w:r>
    </w:p>
    <w:p w:rsidR="00D96C23" w:rsidRDefault="00D96C23" w:rsidP="00C50A9F">
      <w:pPr>
        <w:pStyle w:val="Default"/>
        <w:jc w:val="both"/>
        <w:rPr>
          <w:sz w:val="22"/>
          <w:szCs w:val="22"/>
        </w:rPr>
      </w:pPr>
    </w:p>
    <w:p w:rsidR="00743BF6" w:rsidRDefault="00743BF6" w:rsidP="00C50A9F">
      <w:pPr>
        <w:pStyle w:val="Default"/>
        <w:jc w:val="both"/>
        <w:rPr>
          <w:sz w:val="22"/>
          <w:szCs w:val="22"/>
        </w:rPr>
      </w:pPr>
      <w:r>
        <w:rPr>
          <w:sz w:val="22"/>
          <w:szCs w:val="22"/>
        </w:rPr>
        <w:t xml:space="preserve">Les projets soutenus dans le cadre de cette priorité devront améliorer la qualité de vie des habitants en agissant sur : </w:t>
      </w:r>
    </w:p>
    <w:p w:rsidR="00D96C23" w:rsidRDefault="00D96C23" w:rsidP="00C50A9F">
      <w:pPr>
        <w:pStyle w:val="Default"/>
        <w:jc w:val="both"/>
        <w:rPr>
          <w:sz w:val="22"/>
          <w:szCs w:val="22"/>
        </w:rPr>
      </w:pPr>
    </w:p>
    <w:p w:rsidR="00743BF6" w:rsidRPr="00D96C23" w:rsidRDefault="00743BF6" w:rsidP="00C50A9F">
      <w:pPr>
        <w:pStyle w:val="Default"/>
        <w:spacing w:after="51"/>
        <w:ind w:left="708"/>
        <w:jc w:val="both"/>
        <w:rPr>
          <w:sz w:val="22"/>
          <w:szCs w:val="22"/>
        </w:rPr>
      </w:pPr>
      <w:r w:rsidRPr="00D96C23">
        <w:rPr>
          <w:rFonts w:ascii="Wingdings" w:hAnsi="Wingdings" w:cs="Wingdings"/>
          <w:b/>
          <w:sz w:val="22"/>
          <w:szCs w:val="22"/>
        </w:rPr>
        <w:t></w:t>
      </w:r>
      <w:r w:rsidRPr="00D96C23">
        <w:rPr>
          <w:rFonts w:ascii="Wingdings" w:hAnsi="Wingdings" w:cs="Wingdings"/>
          <w:sz w:val="22"/>
          <w:szCs w:val="22"/>
        </w:rPr>
        <w:t></w:t>
      </w:r>
      <w:r w:rsidRPr="00D96C23">
        <w:rPr>
          <w:bCs/>
          <w:sz w:val="22"/>
          <w:szCs w:val="22"/>
        </w:rPr>
        <w:t xml:space="preserve">le développement d’une économie de la fonctionnalité, le développement d’un système de consommation basé sur des services (économie de partage), l’augmentation de la durée de vie des produits par des actes de réparation, de réemploi, le développement de l'économie sociale et solidaire, des circuits courts et de la consommation de proximité </w:t>
      </w:r>
      <w:r w:rsidRPr="00D96C23">
        <w:rPr>
          <w:sz w:val="22"/>
          <w:szCs w:val="22"/>
        </w:rPr>
        <w:t xml:space="preserve">; </w:t>
      </w:r>
    </w:p>
    <w:p w:rsidR="00743BF6" w:rsidRPr="00D96C23" w:rsidRDefault="00743BF6" w:rsidP="00C50A9F">
      <w:pPr>
        <w:pStyle w:val="Default"/>
        <w:spacing w:after="51"/>
        <w:ind w:left="708"/>
        <w:jc w:val="both"/>
        <w:rPr>
          <w:sz w:val="22"/>
          <w:szCs w:val="22"/>
        </w:rPr>
      </w:pPr>
      <w:r w:rsidRPr="00D96C23">
        <w:rPr>
          <w:rFonts w:ascii="Wingdings" w:hAnsi="Wingdings" w:cs="Wingdings"/>
          <w:b/>
          <w:sz w:val="22"/>
          <w:szCs w:val="22"/>
        </w:rPr>
        <w:t></w:t>
      </w:r>
      <w:r w:rsidRPr="00D96C23">
        <w:rPr>
          <w:rFonts w:ascii="Wingdings" w:hAnsi="Wingdings" w:cs="Wingdings"/>
          <w:sz w:val="22"/>
          <w:szCs w:val="22"/>
        </w:rPr>
        <w:t></w:t>
      </w:r>
      <w:r w:rsidRPr="00D96C23">
        <w:rPr>
          <w:bCs/>
          <w:sz w:val="22"/>
          <w:szCs w:val="22"/>
        </w:rPr>
        <w:t xml:space="preserve">la réduction du gaspillage </w:t>
      </w:r>
      <w:r w:rsidRPr="00D96C23">
        <w:rPr>
          <w:sz w:val="22"/>
          <w:szCs w:val="22"/>
        </w:rPr>
        <w:t xml:space="preserve">; </w:t>
      </w:r>
    </w:p>
    <w:p w:rsidR="00743BF6" w:rsidRPr="00D96C23" w:rsidRDefault="00743BF6" w:rsidP="00C50A9F">
      <w:pPr>
        <w:pStyle w:val="Default"/>
        <w:ind w:left="708"/>
        <w:jc w:val="both"/>
        <w:rPr>
          <w:sz w:val="22"/>
          <w:szCs w:val="22"/>
        </w:rPr>
      </w:pPr>
      <w:r w:rsidRPr="00D96C23">
        <w:rPr>
          <w:rFonts w:ascii="Wingdings" w:hAnsi="Wingdings" w:cs="Wingdings"/>
          <w:b/>
          <w:sz w:val="22"/>
          <w:szCs w:val="22"/>
        </w:rPr>
        <w:lastRenderedPageBreak/>
        <w:t></w:t>
      </w:r>
      <w:r w:rsidRPr="00D96C23">
        <w:rPr>
          <w:rFonts w:ascii="Wingdings" w:hAnsi="Wingdings" w:cs="Wingdings"/>
          <w:sz w:val="22"/>
          <w:szCs w:val="22"/>
        </w:rPr>
        <w:t></w:t>
      </w:r>
      <w:r w:rsidRPr="00D96C23">
        <w:rPr>
          <w:bCs/>
          <w:sz w:val="22"/>
          <w:szCs w:val="22"/>
        </w:rPr>
        <w:t xml:space="preserve">la mise à disposition des moyens nécessaires pour favoriser les biens et les services sobres en carbone, pour lutter contre la précarité énergétique et développer la mobilité durable. </w:t>
      </w:r>
    </w:p>
    <w:p w:rsidR="00743BF6" w:rsidRDefault="00743BF6" w:rsidP="00C50A9F">
      <w:pPr>
        <w:pStyle w:val="Default"/>
        <w:jc w:val="both"/>
        <w:rPr>
          <w:sz w:val="22"/>
          <w:szCs w:val="22"/>
        </w:rPr>
      </w:pPr>
    </w:p>
    <w:p w:rsidR="00D96C23" w:rsidRDefault="00743BF6" w:rsidP="00C50A9F">
      <w:pPr>
        <w:pStyle w:val="Default"/>
        <w:jc w:val="both"/>
        <w:rPr>
          <w:sz w:val="22"/>
          <w:szCs w:val="22"/>
        </w:rPr>
      </w:pPr>
      <w:r>
        <w:rPr>
          <w:b/>
          <w:bCs/>
          <w:sz w:val="22"/>
          <w:szCs w:val="22"/>
        </w:rPr>
        <w:t xml:space="preserve">Priorité 3 : Améliorer le cadre de vie pour une meilleure appropriation des habitants de leur quartier et de leur habitat </w:t>
      </w:r>
      <w:r>
        <w:rPr>
          <w:sz w:val="22"/>
          <w:szCs w:val="22"/>
        </w:rPr>
        <w:t xml:space="preserve">: </w:t>
      </w:r>
    </w:p>
    <w:p w:rsidR="00D96C23" w:rsidRDefault="00D96C23" w:rsidP="00C50A9F">
      <w:pPr>
        <w:pStyle w:val="Default"/>
        <w:jc w:val="both"/>
        <w:rPr>
          <w:sz w:val="22"/>
          <w:szCs w:val="22"/>
        </w:rPr>
      </w:pPr>
    </w:p>
    <w:p w:rsidR="00743BF6" w:rsidRDefault="00D96C23" w:rsidP="00C50A9F">
      <w:pPr>
        <w:pStyle w:val="Default"/>
        <w:jc w:val="both"/>
        <w:rPr>
          <w:sz w:val="22"/>
          <w:szCs w:val="22"/>
        </w:rPr>
      </w:pPr>
      <w:r>
        <w:rPr>
          <w:sz w:val="22"/>
          <w:szCs w:val="22"/>
        </w:rPr>
        <w:t>Il</w:t>
      </w:r>
      <w:r w:rsidR="00743BF6">
        <w:rPr>
          <w:sz w:val="22"/>
          <w:szCs w:val="22"/>
        </w:rPr>
        <w:t xml:space="preserve"> peut s'agir d’opérations d’investissement permettant : </w:t>
      </w:r>
    </w:p>
    <w:p w:rsidR="00D96C23" w:rsidRDefault="00D96C23" w:rsidP="00C50A9F">
      <w:pPr>
        <w:pStyle w:val="Default"/>
        <w:jc w:val="both"/>
        <w:rPr>
          <w:sz w:val="22"/>
          <w:szCs w:val="22"/>
        </w:rPr>
      </w:pPr>
    </w:p>
    <w:p w:rsidR="00743BF6" w:rsidRPr="00D96C23" w:rsidRDefault="00743BF6" w:rsidP="00C50A9F">
      <w:pPr>
        <w:pStyle w:val="Default"/>
        <w:spacing w:after="54"/>
        <w:ind w:left="708"/>
        <w:jc w:val="both"/>
        <w:rPr>
          <w:sz w:val="22"/>
          <w:szCs w:val="22"/>
        </w:rPr>
      </w:pPr>
      <w:r w:rsidRPr="00D96C23">
        <w:rPr>
          <w:rFonts w:ascii="Wingdings" w:hAnsi="Wingdings" w:cs="Wingdings"/>
          <w:sz w:val="22"/>
          <w:szCs w:val="22"/>
        </w:rPr>
        <w:t></w:t>
      </w:r>
      <w:r w:rsidRPr="00D96C23">
        <w:rPr>
          <w:rFonts w:ascii="Wingdings" w:hAnsi="Wingdings" w:cs="Wingdings"/>
          <w:sz w:val="22"/>
          <w:szCs w:val="22"/>
        </w:rPr>
        <w:t></w:t>
      </w:r>
      <w:r w:rsidRPr="00D96C23">
        <w:rPr>
          <w:bCs/>
          <w:sz w:val="22"/>
          <w:szCs w:val="22"/>
        </w:rPr>
        <w:t xml:space="preserve">une meilleure organisation urbaine de ces quartiers, </w:t>
      </w:r>
    </w:p>
    <w:p w:rsidR="00743BF6" w:rsidRPr="00D96C23" w:rsidRDefault="00743BF6" w:rsidP="00C50A9F">
      <w:pPr>
        <w:pStyle w:val="Default"/>
        <w:spacing w:after="54"/>
        <w:ind w:left="708"/>
        <w:jc w:val="both"/>
        <w:rPr>
          <w:sz w:val="22"/>
          <w:szCs w:val="22"/>
        </w:rPr>
      </w:pPr>
      <w:r w:rsidRPr="00D96C23">
        <w:rPr>
          <w:rFonts w:ascii="Wingdings" w:hAnsi="Wingdings" w:cs="Wingdings"/>
          <w:sz w:val="22"/>
          <w:szCs w:val="22"/>
        </w:rPr>
        <w:t></w:t>
      </w:r>
      <w:r w:rsidRPr="00D96C23">
        <w:rPr>
          <w:rFonts w:ascii="Wingdings" w:hAnsi="Wingdings" w:cs="Wingdings"/>
          <w:sz w:val="22"/>
          <w:szCs w:val="22"/>
        </w:rPr>
        <w:t></w:t>
      </w:r>
      <w:r w:rsidRPr="00D96C23">
        <w:rPr>
          <w:bCs/>
          <w:sz w:val="22"/>
          <w:szCs w:val="22"/>
        </w:rPr>
        <w:t>une amélioration de la qualité de vie des habitants et de leur cadre de vie</w:t>
      </w:r>
      <w:r w:rsidRPr="00D96C23">
        <w:rPr>
          <w:sz w:val="22"/>
          <w:szCs w:val="22"/>
        </w:rPr>
        <w:t xml:space="preserve">, </w:t>
      </w:r>
    </w:p>
    <w:p w:rsidR="00743BF6" w:rsidRPr="00D96C23" w:rsidRDefault="00743BF6" w:rsidP="00C50A9F">
      <w:pPr>
        <w:pStyle w:val="Default"/>
        <w:ind w:left="708"/>
        <w:jc w:val="both"/>
        <w:rPr>
          <w:sz w:val="22"/>
          <w:szCs w:val="22"/>
        </w:rPr>
      </w:pPr>
      <w:r w:rsidRPr="00D96C23">
        <w:rPr>
          <w:rFonts w:ascii="Wingdings" w:hAnsi="Wingdings" w:cs="Wingdings"/>
          <w:sz w:val="22"/>
          <w:szCs w:val="22"/>
        </w:rPr>
        <w:t></w:t>
      </w:r>
      <w:r w:rsidRPr="00D96C23">
        <w:rPr>
          <w:rFonts w:ascii="Wingdings" w:hAnsi="Wingdings" w:cs="Wingdings"/>
          <w:sz w:val="22"/>
          <w:szCs w:val="22"/>
        </w:rPr>
        <w:t></w:t>
      </w:r>
      <w:r w:rsidRPr="00D96C23">
        <w:rPr>
          <w:sz w:val="22"/>
          <w:szCs w:val="22"/>
        </w:rPr>
        <w:t xml:space="preserve">La Région pourra également soutenir des actions relevant de la </w:t>
      </w:r>
      <w:r w:rsidRPr="00D96C23">
        <w:rPr>
          <w:bCs/>
          <w:sz w:val="22"/>
          <w:szCs w:val="22"/>
        </w:rPr>
        <w:t xml:space="preserve">Gestion Urbaine de Proximité </w:t>
      </w:r>
      <w:r w:rsidR="00D96C23" w:rsidRPr="00D96C23">
        <w:rPr>
          <w:sz w:val="22"/>
          <w:szCs w:val="22"/>
        </w:rPr>
        <w:t>(GUP),</w:t>
      </w:r>
    </w:p>
    <w:p w:rsidR="00D96C23" w:rsidRDefault="00D96C23" w:rsidP="00C50A9F">
      <w:pPr>
        <w:pStyle w:val="Default"/>
        <w:ind w:left="708"/>
        <w:jc w:val="both"/>
        <w:rPr>
          <w:color w:val="auto"/>
          <w:sz w:val="22"/>
          <w:szCs w:val="22"/>
        </w:rPr>
      </w:pPr>
      <w:r w:rsidRPr="00D96C23">
        <w:rPr>
          <w:rFonts w:ascii="Wingdings" w:hAnsi="Wingdings" w:cs="Wingdings"/>
          <w:color w:val="auto"/>
          <w:sz w:val="22"/>
          <w:szCs w:val="22"/>
        </w:rPr>
        <w:t></w:t>
      </w:r>
      <w:r w:rsidRPr="00D96C23">
        <w:rPr>
          <w:rFonts w:ascii="Wingdings" w:hAnsi="Wingdings" w:cs="Wingdings"/>
          <w:color w:val="auto"/>
          <w:sz w:val="22"/>
          <w:szCs w:val="22"/>
        </w:rPr>
        <w:t></w:t>
      </w:r>
      <w:r w:rsidRPr="00D96C23">
        <w:rPr>
          <w:color w:val="auto"/>
          <w:sz w:val="22"/>
          <w:szCs w:val="22"/>
        </w:rPr>
        <w:t xml:space="preserve">une meilleure </w:t>
      </w:r>
      <w:r w:rsidRPr="00D96C23">
        <w:rPr>
          <w:bCs/>
          <w:color w:val="auto"/>
          <w:sz w:val="22"/>
          <w:szCs w:val="22"/>
        </w:rPr>
        <w:t xml:space="preserve">appropriation et une sécurisation des espaces publics </w:t>
      </w:r>
      <w:r w:rsidRPr="00D96C23">
        <w:rPr>
          <w:color w:val="auto"/>
          <w:sz w:val="22"/>
          <w:szCs w:val="22"/>
        </w:rPr>
        <w:t>mis en œuvre</w:t>
      </w:r>
      <w:r w:rsidRPr="00D96C23">
        <w:rPr>
          <w:bCs/>
          <w:color w:val="auto"/>
          <w:sz w:val="22"/>
          <w:szCs w:val="22"/>
        </w:rPr>
        <w:t xml:space="preserve">soit dans le cadre d'un projet d'aménagement urbain </w:t>
      </w:r>
      <w:r w:rsidRPr="00D96C23">
        <w:rPr>
          <w:color w:val="auto"/>
          <w:sz w:val="22"/>
          <w:szCs w:val="22"/>
        </w:rPr>
        <w:t xml:space="preserve">(intervention sur les espaces publics, locaux collectifs, aires de jeux, etc...), </w:t>
      </w:r>
      <w:r w:rsidRPr="00D96C23">
        <w:rPr>
          <w:bCs/>
          <w:color w:val="auto"/>
          <w:sz w:val="22"/>
          <w:szCs w:val="22"/>
        </w:rPr>
        <w:t xml:space="preserve">soit par le biais de micro-aménagements urbains </w:t>
      </w:r>
      <w:r w:rsidRPr="00D96C23">
        <w:rPr>
          <w:color w:val="auto"/>
          <w:sz w:val="22"/>
          <w:szCs w:val="22"/>
        </w:rPr>
        <w:t xml:space="preserve">proposés par les habitants et mis en œuvre dans le cadre de Fonds de Travaux Urbains (FTU). </w:t>
      </w:r>
    </w:p>
    <w:p w:rsidR="00D96C23" w:rsidRDefault="00D96C23" w:rsidP="00C50A9F">
      <w:pPr>
        <w:pStyle w:val="Default"/>
        <w:ind w:left="708"/>
        <w:jc w:val="both"/>
        <w:rPr>
          <w:color w:val="auto"/>
          <w:sz w:val="22"/>
          <w:szCs w:val="22"/>
        </w:rPr>
      </w:pPr>
    </w:p>
    <w:p w:rsidR="00D96C23" w:rsidRPr="00D96C23" w:rsidRDefault="00D96C23" w:rsidP="00C50A9F">
      <w:pPr>
        <w:pStyle w:val="Default"/>
        <w:jc w:val="both"/>
        <w:rPr>
          <w:color w:val="002060"/>
        </w:rPr>
      </w:pPr>
      <w:r w:rsidRPr="00D96C23">
        <w:rPr>
          <w:b/>
          <w:color w:val="002060"/>
        </w:rPr>
        <w:t>B/ Des « figures libres »</w:t>
      </w:r>
    </w:p>
    <w:p w:rsidR="00D96C23" w:rsidRPr="00D96C23" w:rsidRDefault="00D96C23" w:rsidP="00C50A9F">
      <w:pPr>
        <w:pStyle w:val="Default"/>
        <w:ind w:left="708"/>
        <w:jc w:val="both"/>
        <w:rPr>
          <w:sz w:val="22"/>
          <w:szCs w:val="22"/>
        </w:rPr>
      </w:pPr>
    </w:p>
    <w:p w:rsidR="00743BF6" w:rsidRDefault="00743BF6" w:rsidP="00C50A9F">
      <w:pPr>
        <w:pStyle w:val="Default"/>
        <w:jc w:val="both"/>
        <w:rPr>
          <w:color w:val="auto"/>
          <w:sz w:val="22"/>
          <w:szCs w:val="22"/>
        </w:rPr>
      </w:pPr>
      <w:r>
        <w:rPr>
          <w:color w:val="auto"/>
          <w:sz w:val="22"/>
          <w:szCs w:val="22"/>
        </w:rPr>
        <w:t xml:space="preserve">Elles permettent de financer des projets répondant plus spécifiquement à ses besoins dans le cadre des thématiques du contrat de ville (santé, mobilité,…). </w:t>
      </w:r>
    </w:p>
    <w:p w:rsidR="00D96C23" w:rsidRDefault="00D96C23" w:rsidP="00C50A9F">
      <w:pPr>
        <w:pStyle w:val="Default"/>
        <w:jc w:val="both"/>
        <w:rPr>
          <w:color w:val="auto"/>
          <w:sz w:val="22"/>
          <w:szCs w:val="22"/>
        </w:rPr>
      </w:pPr>
    </w:p>
    <w:p w:rsidR="00743BF6" w:rsidRDefault="00743BF6" w:rsidP="00C50A9F">
      <w:pPr>
        <w:pStyle w:val="Default"/>
        <w:jc w:val="both"/>
        <w:rPr>
          <w:color w:val="auto"/>
          <w:sz w:val="22"/>
          <w:szCs w:val="22"/>
        </w:rPr>
      </w:pPr>
      <w:r>
        <w:rPr>
          <w:color w:val="auto"/>
          <w:sz w:val="22"/>
          <w:szCs w:val="22"/>
        </w:rPr>
        <w:t xml:space="preserve">Au sein de ces figures libres, la Région soutient </w:t>
      </w:r>
      <w:r>
        <w:rPr>
          <w:b/>
          <w:bCs/>
          <w:color w:val="auto"/>
          <w:sz w:val="22"/>
          <w:szCs w:val="22"/>
        </w:rPr>
        <w:t xml:space="preserve">les Projets d’Initiative Citoyenne </w:t>
      </w:r>
      <w:r w:rsidR="007857E9">
        <w:rPr>
          <w:color w:val="auto"/>
          <w:sz w:val="22"/>
          <w:szCs w:val="22"/>
        </w:rPr>
        <w:t>(ex-Fonds de Participation des Habitants</w:t>
      </w:r>
      <w:bookmarkStart w:id="0" w:name="_GoBack"/>
      <w:bookmarkEnd w:id="0"/>
      <w:r>
        <w:rPr>
          <w:color w:val="auto"/>
          <w:sz w:val="22"/>
          <w:szCs w:val="22"/>
        </w:rPr>
        <w:t xml:space="preserve">) : les PIC sont des fonds gérés par une association gestionnaire en prise directe avec les habitants des quartiers prioritaires de la politique de la ville (quartiers de veille compris). Ils doivent s’inscrire dans les thématiques suivantes : </w:t>
      </w:r>
    </w:p>
    <w:p w:rsidR="00D96C23" w:rsidRDefault="00D96C23" w:rsidP="00743BF6">
      <w:pPr>
        <w:pStyle w:val="Default"/>
        <w:rPr>
          <w:color w:val="auto"/>
          <w:sz w:val="22"/>
          <w:szCs w:val="22"/>
        </w:rPr>
      </w:pPr>
    </w:p>
    <w:p w:rsidR="00743BF6" w:rsidRDefault="00743BF6" w:rsidP="00743BF6">
      <w:pPr>
        <w:pStyle w:val="Default"/>
        <w:rPr>
          <w:color w:val="auto"/>
          <w:sz w:val="22"/>
          <w:szCs w:val="22"/>
        </w:rPr>
      </w:pPr>
      <w:r>
        <w:rPr>
          <w:color w:val="auto"/>
          <w:sz w:val="22"/>
          <w:szCs w:val="22"/>
        </w:rPr>
        <w:t xml:space="preserve">Ces thématiques sont les suivantes : </w:t>
      </w:r>
    </w:p>
    <w:p w:rsidR="00D96C23" w:rsidRDefault="00D96C23" w:rsidP="00743BF6">
      <w:pPr>
        <w:pStyle w:val="Default"/>
        <w:rPr>
          <w:color w:val="auto"/>
          <w:sz w:val="22"/>
          <w:szCs w:val="22"/>
        </w:rPr>
      </w:pPr>
    </w:p>
    <w:p w:rsidR="00743BF6" w:rsidRDefault="00743BF6" w:rsidP="00D96C23">
      <w:pPr>
        <w:pStyle w:val="Default"/>
        <w:spacing w:after="54"/>
        <w:ind w:left="708"/>
        <w:rPr>
          <w:color w:val="auto"/>
          <w:sz w:val="22"/>
          <w:szCs w:val="22"/>
        </w:rPr>
      </w:pPr>
      <w:r>
        <w:rPr>
          <w:rFonts w:ascii="Wingdings" w:hAnsi="Wingdings" w:cs="Wingdings"/>
          <w:color w:val="auto"/>
          <w:sz w:val="22"/>
          <w:szCs w:val="22"/>
        </w:rPr>
        <w:t></w:t>
      </w:r>
      <w:r>
        <w:rPr>
          <w:rFonts w:ascii="Wingdings" w:hAnsi="Wingdings" w:cs="Wingdings"/>
          <w:color w:val="auto"/>
          <w:sz w:val="22"/>
          <w:szCs w:val="22"/>
        </w:rPr>
        <w:t></w:t>
      </w:r>
      <w:r>
        <w:rPr>
          <w:b/>
          <w:bCs/>
          <w:color w:val="auto"/>
          <w:sz w:val="22"/>
          <w:szCs w:val="22"/>
        </w:rPr>
        <w:t xml:space="preserve">Insertion par l’économique </w:t>
      </w:r>
      <w:r>
        <w:rPr>
          <w:color w:val="auto"/>
          <w:sz w:val="22"/>
          <w:szCs w:val="22"/>
        </w:rPr>
        <w:t xml:space="preserve">; </w:t>
      </w:r>
    </w:p>
    <w:p w:rsidR="00743BF6" w:rsidRDefault="00743BF6" w:rsidP="00D96C23">
      <w:pPr>
        <w:pStyle w:val="Default"/>
        <w:spacing w:after="54"/>
        <w:ind w:left="708"/>
        <w:rPr>
          <w:color w:val="auto"/>
          <w:sz w:val="22"/>
          <w:szCs w:val="22"/>
        </w:rPr>
      </w:pPr>
      <w:r>
        <w:rPr>
          <w:rFonts w:ascii="Wingdings" w:hAnsi="Wingdings" w:cs="Wingdings"/>
          <w:color w:val="auto"/>
          <w:sz w:val="22"/>
          <w:szCs w:val="22"/>
        </w:rPr>
        <w:t></w:t>
      </w:r>
      <w:r>
        <w:rPr>
          <w:rFonts w:ascii="Wingdings" w:hAnsi="Wingdings" w:cs="Wingdings"/>
          <w:color w:val="auto"/>
          <w:sz w:val="22"/>
          <w:szCs w:val="22"/>
        </w:rPr>
        <w:t></w:t>
      </w:r>
      <w:r>
        <w:rPr>
          <w:b/>
          <w:bCs/>
          <w:color w:val="auto"/>
          <w:sz w:val="22"/>
          <w:szCs w:val="22"/>
        </w:rPr>
        <w:t xml:space="preserve">Innovation sociale </w:t>
      </w:r>
      <w:r>
        <w:rPr>
          <w:color w:val="auto"/>
          <w:sz w:val="22"/>
          <w:szCs w:val="22"/>
        </w:rPr>
        <w:t xml:space="preserve">; </w:t>
      </w:r>
    </w:p>
    <w:p w:rsidR="00743BF6" w:rsidRDefault="00743BF6" w:rsidP="00D96C23">
      <w:pPr>
        <w:pStyle w:val="Default"/>
        <w:spacing w:after="54"/>
        <w:ind w:left="708"/>
        <w:rPr>
          <w:color w:val="auto"/>
          <w:sz w:val="22"/>
          <w:szCs w:val="22"/>
        </w:rPr>
      </w:pPr>
      <w:r>
        <w:rPr>
          <w:rFonts w:ascii="Wingdings" w:hAnsi="Wingdings" w:cs="Wingdings"/>
          <w:color w:val="auto"/>
          <w:sz w:val="22"/>
          <w:szCs w:val="22"/>
        </w:rPr>
        <w:t></w:t>
      </w:r>
      <w:r>
        <w:rPr>
          <w:rFonts w:ascii="Wingdings" w:hAnsi="Wingdings" w:cs="Wingdings"/>
          <w:color w:val="auto"/>
          <w:sz w:val="22"/>
          <w:szCs w:val="22"/>
        </w:rPr>
        <w:t></w:t>
      </w:r>
      <w:r>
        <w:rPr>
          <w:b/>
          <w:bCs/>
          <w:color w:val="auto"/>
          <w:sz w:val="22"/>
          <w:szCs w:val="22"/>
        </w:rPr>
        <w:t xml:space="preserve">Démocratie numérique </w:t>
      </w:r>
      <w:r>
        <w:rPr>
          <w:color w:val="auto"/>
          <w:sz w:val="22"/>
          <w:szCs w:val="22"/>
        </w:rPr>
        <w:t xml:space="preserve">et </w:t>
      </w:r>
      <w:r>
        <w:rPr>
          <w:b/>
          <w:bCs/>
          <w:color w:val="auto"/>
          <w:sz w:val="22"/>
          <w:szCs w:val="22"/>
        </w:rPr>
        <w:t xml:space="preserve">sensibilisation aux usages numériques </w:t>
      </w:r>
      <w:r>
        <w:rPr>
          <w:color w:val="auto"/>
          <w:sz w:val="22"/>
          <w:szCs w:val="22"/>
        </w:rPr>
        <w:t xml:space="preserve">; </w:t>
      </w:r>
    </w:p>
    <w:p w:rsidR="00743BF6" w:rsidRDefault="00743BF6" w:rsidP="00D96C23">
      <w:pPr>
        <w:pStyle w:val="Default"/>
        <w:spacing w:after="54"/>
        <w:ind w:left="708"/>
        <w:rPr>
          <w:color w:val="auto"/>
          <w:sz w:val="22"/>
          <w:szCs w:val="22"/>
        </w:rPr>
      </w:pPr>
      <w:r>
        <w:rPr>
          <w:rFonts w:ascii="Wingdings" w:hAnsi="Wingdings" w:cs="Wingdings"/>
          <w:color w:val="auto"/>
          <w:sz w:val="22"/>
          <w:szCs w:val="22"/>
        </w:rPr>
        <w:t></w:t>
      </w:r>
      <w:r>
        <w:rPr>
          <w:rFonts w:ascii="Wingdings" w:hAnsi="Wingdings" w:cs="Wingdings"/>
          <w:color w:val="auto"/>
          <w:sz w:val="22"/>
          <w:szCs w:val="22"/>
        </w:rPr>
        <w:t></w:t>
      </w:r>
      <w:r>
        <w:rPr>
          <w:b/>
          <w:bCs/>
          <w:color w:val="auto"/>
          <w:sz w:val="22"/>
          <w:szCs w:val="22"/>
        </w:rPr>
        <w:t xml:space="preserve">Transition énergétique et écologique </w:t>
      </w:r>
      <w:r>
        <w:rPr>
          <w:color w:val="auto"/>
          <w:sz w:val="22"/>
          <w:szCs w:val="22"/>
        </w:rPr>
        <w:t xml:space="preserve">; </w:t>
      </w:r>
    </w:p>
    <w:p w:rsidR="00743BF6" w:rsidRDefault="00743BF6" w:rsidP="00D96C23">
      <w:pPr>
        <w:pStyle w:val="Default"/>
        <w:spacing w:after="54"/>
        <w:ind w:left="708"/>
        <w:rPr>
          <w:color w:val="auto"/>
          <w:sz w:val="22"/>
          <w:szCs w:val="22"/>
        </w:rPr>
      </w:pPr>
      <w:r>
        <w:rPr>
          <w:rFonts w:ascii="Wingdings" w:hAnsi="Wingdings" w:cs="Wingdings"/>
          <w:color w:val="auto"/>
          <w:sz w:val="22"/>
          <w:szCs w:val="22"/>
        </w:rPr>
        <w:t></w:t>
      </w:r>
      <w:r>
        <w:rPr>
          <w:rFonts w:ascii="Wingdings" w:hAnsi="Wingdings" w:cs="Wingdings"/>
          <w:color w:val="auto"/>
          <w:sz w:val="22"/>
          <w:szCs w:val="22"/>
        </w:rPr>
        <w:t></w:t>
      </w:r>
      <w:r>
        <w:rPr>
          <w:b/>
          <w:bCs/>
          <w:color w:val="auto"/>
          <w:sz w:val="22"/>
          <w:szCs w:val="22"/>
        </w:rPr>
        <w:t xml:space="preserve">Valorisation des circuits courts </w:t>
      </w:r>
      <w:r>
        <w:rPr>
          <w:color w:val="auto"/>
          <w:sz w:val="22"/>
          <w:szCs w:val="22"/>
        </w:rPr>
        <w:t xml:space="preserve">; </w:t>
      </w:r>
    </w:p>
    <w:p w:rsidR="00743BF6" w:rsidRDefault="00743BF6" w:rsidP="00D96C23">
      <w:pPr>
        <w:pStyle w:val="Default"/>
        <w:spacing w:after="54"/>
        <w:ind w:left="708"/>
        <w:rPr>
          <w:color w:val="auto"/>
          <w:sz w:val="22"/>
          <w:szCs w:val="22"/>
        </w:rPr>
      </w:pPr>
      <w:r>
        <w:rPr>
          <w:rFonts w:ascii="Wingdings" w:hAnsi="Wingdings" w:cs="Wingdings"/>
          <w:color w:val="auto"/>
          <w:sz w:val="22"/>
          <w:szCs w:val="22"/>
        </w:rPr>
        <w:t></w:t>
      </w:r>
      <w:r>
        <w:rPr>
          <w:rFonts w:ascii="Wingdings" w:hAnsi="Wingdings" w:cs="Wingdings"/>
          <w:color w:val="auto"/>
          <w:sz w:val="22"/>
          <w:szCs w:val="22"/>
        </w:rPr>
        <w:t></w:t>
      </w:r>
      <w:r>
        <w:rPr>
          <w:b/>
          <w:bCs/>
          <w:color w:val="auto"/>
          <w:sz w:val="22"/>
          <w:szCs w:val="22"/>
        </w:rPr>
        <w:t xml:space="preserve">Lutte contre l’isolement des personnes isolées et des personnes fragiles </w:t>
      </w:r>
      <w:r>
        <w:rPr>
          <w:color w:val="auto"/>
          <w:sz w:val="22"/>
          <w:szCs w:val="22"/>
        </w:rPr>
        <w:t xml:space="preserve">; </w:t>
      </w:r>
    </w:p>
    <w:p w:rsidR="00743BF6" w:rsidRDefault="00743BF6" w:rsidP="00D96C23">
      <w:pPr>
        <w:pStyle w:val="Default"/>
        <w:spacing w:after="54"/>
        <w:ind w:left="708"/>
        <w:rPr>
          <w:color w:val="auto"/>
          <w:sz w:val="22"/>
          <w:szCs w:val="22"/>
        </w:rPr>
      </w:pPr>
      <w:r>
        <w:rPr>
          <w:rFonts w:ascii="Wingdings" w:hAnsi="Wingdings" w:cs="Wingdings"/>
          <w:color w:val="auto"/>
          <w:sz w:val="22"/>
          <w:szCs w:val="22"/>
        </w:rPr>
        <w:t></w:t>
      </w:r>
      <w:r>
        <w:rPr>
          <w:rFonts w:ascii="Wingdings" w:hAnsi="Wingdings" w:cs="Wingdings"/>
          <w:color w:val="auto"/>
          <w:sz w:val="22"/>
          <w:szCs w:val="22"/>
        </w:rPr>
        <w:t></w:t>
      </w:r>
      <w:r>
        <w:rPr>
          <w:b/>
          <w:bCs/>
          <w:color w:val="auto"/>
          <w:sz w:val="22"/>
          <w:szCs w:val="22"/>
        </w:rPr>
        <w:t xml:space="preserve">Lutte contre l’illettrisme </w:t>
      </w:r>
      <w:r>
        <w:rPr>
          <w:color w:val="auto"/>
          <w:sz w:val="22"/>
          <w:szCs w:val="22"/>
        </w:rPr>
        <w:t xml:space="preserve">; </w:t>
      </w:r>
    </w:p>
    <w:p w:rsidR="00743BF6" w:rsidRDefault="00743BF6" w:rsidP="00D96C23">
      <w:pPr>
        <w:pStyle w:val="Default"/>
        <w:spacing w:after="54"/>
        <w:ind w:left="708"/>
        <w:rPr>
          <w:color w:val="auto"/>
          <w:sz w:val="22"/>
          <w:szCs w:val="22"/>
        </w:rPr>
      </w:pPr>
      <w:r>
        <w:rPr>
          <w:rFonts w:ascii="Wingdings" w:hAnsi="Wingdings" w:cs="Wingdings"/>
          <w:color w:val="auto"/>
          <w:sz w:val="22"/>
          <w:szCs w:val="22"/>
        </w:rPr>
        <w:t></w:t>
      </w:r>
      <w:r>
        <w:rPr>
          <w:rFonts w:ascii="Wingdings" w:hAnsi="Wingdings" w:cs="Wingdings"/>
          <w:color w:val="auto"/>
          <w:sz w:val="22"/>
          <w:szCs w:val="22"/>
        </w:rPr>
        <w:t></w:t>
      </w:r>
      <w:r>
        <w:rPr>
          <w:b/>
          <w:bCs/>
          <w:color w:val="auto"/>
          <w:sz w:val="22"/>
          <w:szCs w:val="22"/>
        </w:rPr>
        <w:t xml:space="preserve">Echanges de savoirs, entraide et soutien scolaires </w:t>
      </w:r>
      <w:r>
        <w:rPr>
          <w:color w:val="auto"/>
          <w:sz w:val="22"/>
          <w:szCs w:val="22"/>
        </w:rPr>
        <w:t xml:space="preserve">; </w:t>
      </w:r>
    </w:p>
    <w:p w:rsidR="00743BF6" w:rsidRDefault="00743BF6" w:rsidP="00D96C23">
      <w:pPr>
        <w:pStyle w:val="Default"/>
        <w:spacing w:after="54"/>
        <w:ind w:left="708"/>
        <w:rPr>
          <w:color w:val="auto"/>
          <w:sz w:val="22"/>
          <w:szCs w:val="22"/>
        </w:rPr>
      </w:pPr>
      <w:r>
        <w:rPr>
          <w:rFonts w:ascii="Wingdings" w:hAnsi="Wingdings" w:cs="Wingdings"/>
          <w:color w:val="auto"/>
          <w:sz w:val="22"/>
          <w:szCs w:val="22"/>
        </w:rPr>
        <w:t></w:t>
      </w:r>
      <w:r>
        <w:rPr>
          <w:rFonts w:ascii="Wingdings" w:hAnsi="Wingdings" w:cs="Wingdings"/>
          <w:color w:val="auto"/>
          <w:sz w:val="22"/>
          <w:szCs w:val="22"/>
        </w:rPr>
        <w:t></w:t>
      </w:r>
      <w:r>
        <w:rPr>
          <w:b/>
          <w:bCs/>
          <w:color w:val="auto"/>
          <w:sz w:val="22"/>
          <w:szCs w:val="22"/>
        </w:rPr>
        <w:t xml:space="preserve">Valorisation et découverte du patrimoine et de l’histoire locale </w:t>
      </w:r>
      <w:r>
        <w:rPr>
          <w:color w:val="auto"/>
          <w:sz w:val="22"/>
          <w:szCs w:val="22"/>
        </w:rPr>
        <w:t xml:space="preserve">; </w:t>
      </w:r>
    </w:p>
    <w:p w:rsidR="00743BF6" w:rsidRDefault="00743BF6" w:rsidP="00D96C23">
      <w:pPr>
        <w:pStyle w:val="Default"/>
        <w:ind w:left="708"/>
        <w:rPr>
          <w:color w:val="auto"/>
          <w:sz w:val="22"/>
          <w:szCs w:val="22"/>
        </w:rPr>
      </w:pPr>
      <w:r>
        <w:rPr>
          <w:rFonts w:ascii="Wingdings" w:hAnsi="Wingdings" w:cs="Wingdings"/>
          <w:color w:val="auto"/>
          <w:sz w:val="22"/>
          <w:szCs w:val="22"/>
        </w:rPr>
        <w:t></w:t>
      </w:r>
      <w:r>
        <w:rPr>
          <w:rFonts w:ascii="Wingdings" w:hAnsi="Wingdings" w:cs="Wingdings"/>
          <w:color w:val="auto"/>
          <w:sz w:val="22"/>
          <w:szCs w:val="22"/>
        </w:rPr>
        <w:t></w:t>
      </w:r>
      <w:r>
        <w:rPr>
          <w:b/>
          <w:bCs/>
          <w:color w:val="auto"/>
          <w:sz w:val="22"/>
          <w:szCs w:val="22"/>
        </w:rPr>
        <w:t>Créativité artistique</w:t>
      </w:r>
      <w:r>
        <w:rPr>
          <w:color w:val="auto"/>
          <w:sz w:val="22"/>
          <w:szCs w:val="22"/>
        </w:rPr>
        <w:t xml:space="preserve">. </w:t>
      </w:r>
    </w:p>
    <w:p w:rsidR="00743BF6" w:rsidRDefault="00743BF6" w:rsidP="00743BF6">
      <w:pPr>
        <w:pStyle w:val="Default"/>
        <w:rPr>
          <w:color w:val="auto"/>
          <w:sz w:val="22"/>
          <w:szCs w:val="22"/>
        </w:rPr>
      </w:pPr>
    </w:p>
    <w:p w:rsidR="00743BF6" w:rsidRDefault="00743BF6" w:rsidP="00C50A9F">
      <w:pPr>
        <w:pStyle w:val="Default"/>
        <w:jc w:val="both"/>
        <w:rPr>
          <w:color w:val="auto"/>
          <w:sz w:val="22"/>
          <w:szCs w:val="22"/>
        </w:rPr>
      </w:pPr>
      <w:r>
        <w:rPr>
          <w:color w:val="auto"/>
          <w:sz w:val="22"/>
          <w:szCs w:val="22"/>
        </w:rPr>
        <w:t xml:space="preserve">Les bénéficiaires de subventions au titre du présent appel à projet seront invités à transmettre à la Région lors des bilans annuels des fiches-action simplifiées qui permettront d’une part de qualifier les projets par rapport à une thématique et d’autre part de réaliser une auto-évaluation succincte. </w:t>
      </w:r>
    </w:p>
    <w:p w:rsidR="00D96C23" w:rsidRDefault="00D96C23" w:rsidP="00743BF6">
      <w:pPr>
        <w:pStyle w:val="Default"/>
        <w:rPr>
          <w:color w:val="auto"/>
          <w:sz w:val="22"/>
          <w:szCs w:val="22"/>
        </w:rPr>
      </w:pPr>
    </w:p>
    <w:p w:rsidR="00D96C23" w:rsidRDefault="00D96C23" w:rsidP="00743BF6">
      <w:pPr>
        <w:pStyle w:val="Default"/>
        <w:rPr>
          <w:b/>
          <w:bCs/>
          <w:i/>
          <w:iCs/>
          <w:color w:val="auto"/>
          <w:sz w:val="22"/>
          <w:szCs w:val="22"/>
        </w:rPr>
      </w:pPr>
    </w:p>
    <w:p w:rsidR="00D96C23" w:rsidRDefault="00D96C23" w:rsidP="00743BF6">
      <w:pPr>
        <w:pStyle w:val="Default"/>
        <w:rPr>
          <w:b/>
          <w:bCs/>
          <w:i/>
          <w:iCs/>
          <w:color w:val="auto"/>
          <w:sz w:val="22"/>
          <w:szCs w:val="22"/>
        </w:rPr>
      </w:pPr>
    </w:p>
    <w:p w:rsidR="00D96C23" w:rsidRDefault="00D96C23" w:rsidP="00743BF6">
      <w:pPr>
        <w:pStyle w:val="Default"/>
        <w:rPr>
          <w:b/>
          <w:bCs/>
          <w:i/>
          <w:iCs/>
          <w:color w:val="auto"/>
          <w:sz w:val="22"/>
          <w:szCs w:val="22"/>
        </w:rPr>
      </w:pPr>
    </w:p>
    <w:p w:rsidR="00D96C23" w:rsidRDefault="00D96C23" w:rsidP="00743BF6">
      <w:pPr>
        <w:pStyle w:val="Default"/>
        <w:rPr>
          <w:b/>
          <w:bCs/>
          <w:i/>
          <w:iCs/>
          <w:color w:val="auto"/>
          <w:sz w:val="22"/>
          <w:szCs w:val="22"/>
        </w:rPr>
      </w:pPr>
    </w:p>
    <w:tbl>
      <w:tblPr>
        <w:tblStyle w:val="Grilledutableau"/>
        <w:tblW w:w="0" w:type="auto"/>
        <w:tblLook w:val="04A0"/>
      </w:tblPr>
      <w:tblGrid>
        <w:gridCol w:w="9062"/>
      </w:tblGrid>
      <w:tr w:rsidR="00D96C23" w:rsidTr="00D96C23">
        <w:tc>
          <w:tcPr>
            <w:tcW w:w="9062" w:type="dxa"/>
            <w:shd w:val="clear" w:color="auto" w:fill="FFFF00"/>
          </w:tcPr>
          <w:p w:rsidR="00D96C23" w:rsidRPr="00D96C23" w:rsidRDefault="00D96C23" w:rsidP="00743BF6">
            <w:pPr>
              <w:pStyle w:val="Default"/>
              <w:rPr>
                <w:color w:val="auto"/>
                <w:sz w:val="22"/>
                <w:szCs w:val="22"/>
              </w:rPr>
            </w:pPr>
            <w:r>
              <w:rPr>
                <w:b/>
                <w:bCs/>
                <w:i/>
                <w:iCs/>
                <w:color w:val="auto"/>
                <w:sz w:val="22"/>
                <w:szCs w:val="22"/>
              </w:rPr>
              <w:lastRenderedPageBreak/>
              <w:t xml:space="preserve">L'opération régionale « Nos Quartiers d’Eté » </w:t>
            </w:r>
          </w:p>
        </w:tc>
      </w:tr>
    </w:tbl>
    <w:p w:rsidR="00743BF6" w:rsidRDefault="00743BF6" w:rsidP="00743BF6">
      <w:pPr>
        <w:pStyle w:val="Default"/>
        <w:rPr>
          <w:color w:val="auto"/>
          <w:sz w:val="22"/>
          <w:szCs w:val="22"/>
        </w:rPr>
      </w:pPr>
    </w:p>
    <w:p w:rsidR="00743BF6" w:rsidRPr="007857E9" w:rsidRDefault="00743BF6" w:rsidP="00D96C23">
      <w:pPr>
        <w:pStyle w:val="Default"/>
        <w:jc w:val="both"/>
        <w:rPr>
          <w:color w:val="auto"/>
          <w:sz w:val="22"/>
          <w:szCs w:val="22"/>
        </w:rPr>
      </w:pPr>
      <w:r w:rsidRPr="007857E9">
        <w:rPr>
          <w:color w:val="auto"/>
          <w:sz w:val="22"/>
          <w:szCs w:val="22"/>
        </w:rPr>
        <w:t xml:space="preserve">Au travers de ce dispositif, la Région Hauts-de-France soutient durant la période estivale des </w:t>
      </w:r>
      <w:r w:rsidRPr="007857E9">
        <w:rPr>
          <w:bCs/>
          <w:color w:val="auto"/>
          <w:sz w:val="22"/>
          <w:szCs w:val="22"/>
        </w:rPr>
        <w:t>démarches d’animation sociale et culturelle des quartiers s’inscrivant dans le pacte social et républicain et visant à la consolidation du lien social entre habitants, générations, territoires, la montée en compétence des acteurs relais locaux et la qualification des habitants</w:t>
      </w:r>
      <w:r w:rsidRPr="007857E9">
        <w:rPr>
          <w:color w:val="auto"/>
          <w:sz w:val="22"/>
          <w:szCs w:val="22"/>
        </w:rPr>
        <w:t xml:space="preserve">. </w:t>
      </w:r>
    </w:p>
    <w:p w:rsidR="00D96C23" w:rsidRDefault="00D96C23" w:rsidP="00D96C23">
      <w:pPr>
        <w:pStyle w:val="Default"/>
        <w:jc w:val="both"/>
        <w:rPr>
          <w:color w:val="auto"/>
          <w:sz w:val="22"/>
          <w:szCs w:val="22"/>
        </w:rPr>
      </w:pPr>
    </w:p>
    <w:p w:rsidR="00743BF6" w:rsidRDefault="00743BF6" w:rsidP="00D96C23">
      <w:pPr>
        <w:pStyle w:val="Default"/>
        <w:jc w:val="both"/>
        <w:rPr>
          <w:color w:val="auto"/>
          <w:sz w:val="22"/>
          <w:szCs w:val="22"/>
        </w:rPr>
      </w:pPr>
      <w:r>
        <w:rPr>
          <w:color w:val="auto"/>
          <w:sz w:val="22"/>
          <w:szCs w:val="22"/>
        </w:rPr>
        <w:t xml:space="preserve">Ces démarches doivent reposer sur des partenariats inter-associatifs et des actions inter-quartiers voire inter-territoires : les opérations éligibles devront nécessairement être des actions mutualisées même si administrativement un seul et unique porteur de projet devra être désigné. </w:t>
      </w:r>
    </w:p>
    <w:p w:rsidR="00D96C23" w:rsidRDefault="00D96C23" w:rsidP="00D96C23">
      <w:pPr>
        <w:pStyle w:val="Default"/>
        <w:jc w:val="both"/>
        <w:rPr>
          <w:color w:val="auto"/>
          <w:sz w:val="22"/>
          <w:szCs w:val="22"/>
        </w:rPr>
      </w:pPr>
    </w:p>
    <w:p w:rsidR="00743BF6" w:rsidRDefault="00743BF6" w:rsidP="00D96C23">
      <w:pPr>
        <w:pStyle w:val="Default"/>
        <w:jc w:val="both"/>
        <w:rPr>
          <w:color w:val="auto"/>
          <w:sz w:val="22"/>
          <w:szCs w:val="22"/>
        </w:rPr>
      </w:pPr>
      <w:r>
        <w:rPr>
          <w:color w:val="auto"/>
          <w:sz w:val="22"/>
          <w:szCs w:val="22"/>
        </w:rPr>
        <w:t xml:space="preserve">Par ailleurs, les actions devront dans la mesure du possible être étroitement corrélées aux autres manifestations régionales se déroulant pendant tout l’été, pour une vision plus intégrée des politiques régionales, par exemple avec les opérations TER/MER et TER/VERT, les musées, les clubs sportifs, les manifestations scientifiques,… </w:t>
      </w:r>
    </w:p>
    <w:p w:rsidR="00D96C23" w:rsidRDefault="00D96C23" w:rsidP="00D96C23">
      <w:pPr>
        <w:pStyle w:val="Default"/>
        <w:jc w:val="both"/>
        <w:rPr>
          <w:color w:val="auto"/>
          <w:sz w:val="22"/>
          <w:szCs w:val="22"/>
        </w:rPr>
      </w:pPr>
    </w:p>
    <w:p w:rsidR="00743BF6" w:rsidRDefault="00743BF6" w:rsidP="00D96C23">
      <w:pPr>
        <w:pStyle w:val="Default"/>
        <w:jc w:val="both"/>
        <w:rPr>
          <w:color w:val="auto"/>
          <w:sz w:val="22"/>
          <w:szCs w:val="22"/>
        </w:rPr>
      </w:pPr>
      <w:r>
        <w:rPr>
          <w:color w:val="auto"/>
          <w:sz w:val="22"/>
          <w:szCs w:val="22"/>
        </w:rPr>
        <w:t xml:space="preserve">Pour les associations locales, un co-financement local (de la part de la ou des communes concernées), d’au moins 30 % de la dépense </w:t>
      </w:r>
      <w:r w:rsidR="00D96C23">
        <w:rPr>
          <w:color w:val="auto"/>
          <w:sz w:val="22"/>
          <w:szCs w:val="22"/>
        </w:rPr>
        <w:t>subventionnable est obligatoire. P</w:t>
      </w:r>
      <w:r>
        <w:rPr>
          <w:color w:val="auto"/>
          <w:sz w:val="22"/>
          <w:szCs w:val="22"/>
        </w:rPr>
        <w:t>our toutes les associations, la demande minimale faite au titre du dispositif Nos Quartiers d’Eté ne</w:t>
      </w:r>
      <w:r w:rsidR="00D96C23">
        <w:rPr>
          <w:color w:val="auto"/>
          <w:sz w:val="22"/>
          <w:szCs w:val="22"/>
        </w:rPr>
        <w:t xml:space="preserve"> peut être inférieure à 2.000 €.</w:t>
      </w:r>
    </w:p>
    <w:p w:rsidR="00D96C23" w:rsidRPr="00D96C23" w:rsidRDefault="00D96C23" w:rsidP="00D96C23">
      <w:pPr>
        <w:pStyle w:val="Default"/>
        <w:jc w:val="both"/>
        <w:rPr>
          <w:color w:val="auto"/>
          <w:sz w:val="22"/>
          <w:szCs w:val="22"/>
        </w:rPr>
      </w:pPr>
    </w:p>
    <w:sectPr w:rsidR="00D96C23" w:rsidRPr="00D96C23" w:rsidSect="005953E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743BF6"/>
    <w:rsid w:val="002846CC"/>
    <w:rsid w:val="003411C4"/>
    <w:rsid w:val="003E4EE2"/>
    <w:rsid w:val="005953EF"/>
    <w:rsid w:val="006C7934"/>
    <w:rsid w:val="00743BF6"/>
    <w:rsid w:val="007857E9"/>
    <w:rsid w:val="008D71A6"/>
    <w:rsid w:val="00C50A9F"/>
    <w:rsid w:val="00D40DFC"/>
    <w:rsid w:val="00D96C23"/>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1"/>
        <w:szCs w:val="21"/>
        <w:lang w:val="fr-FR"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3BF6"/>
  </w:style>
  <w:style w:type="paragraph" w:styleId="Titre1">
    <w:name w:val="heading 1"/>
    <w:basedOn w:val="Normal"/>
    <w:next w:val="Normal"/>
    <w:link w:val="Titre1Car"/>
    <w:uiPriority w:val="9"/>
    <w:qFormat/>
    <w:rsid w:val="00743BF6"/>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Titre2">
    <w:name w:val="heading 2"/>
    <w:basedOn w:val="Normal"/>
    <w:next w:val="Normal"/>
    <w:link w:val="Titre2Car"/>
    <w:uiPriority w:val="9"/>
    <w:semiHidden/>
    <w:unhideWhenUsed/>
    <w:qFormat/>
    <w:rsid w:val="00743BF6"/>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Titre3">
    <w:name w:val="heading 3"/>
    <w:basedOn w:val="Normal"/>
    <w:next w:val="Normal"/>
    <w:link w:val="Titre3Car"/>
    <w:uiPriority w:val="9"/>
    <w:semiHidden/>
    <w:unhideWhenUsed/>
    <w:qFormat/>
    <w:rsid w:val="00743BF6"/>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Titre4">
    <w:name w:val="heading 4"/>
    <w:basedOn w:val="Normal"/>
    <w:next w:val="Normal"/>
    <w:link w:val="Titre4Car"/>
    <w:uiPriority w:val="9"/>
    <w:semiHidden/>
    <w:unhideWhenUsed/>
    <w:qFormat/>
    <w:rsid w:val="00743BF6"/>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Titre5">
    <w:name w:val="heading 5"/>
    <w:basedOn w:val="Normal"/>
    <w:next w:val="Normal"/>
    <w:link w:val="Titre5Car"/>
    <w:uiPriority w:val="9"/>
    <w:semiHidden/>
    <w:unhideWhenUsed/>
    <w:qFormat/>
    <w:rsid w:val="00743BF6"/>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Titre6">
    <w:name w:val="heading 6"/>
    <w:basedOn w:val="Normal"/>
    <w:next w:val="Normal"/>
    <w:link w:val="Titre6Car"/>
    <w:uiPriority w:val="9"/>
    <w:semiHidden/>
    <w:unhideWhenUsed/>
    <w:qFormat/>
    <w:rsid w:val="00743BF6"/>
    <w:pPr>
      <w:keepNext/>
      <w:keepLines/>
      <w:spacing w:before="40" w:after="0"/>
      <w:outlineLvl w:val="5"/>
    </w:pPr>
    <w:rPr>
      <w:rFonts w:asciiTheme="majorHAnsi" w:eastAsiaTheme="majorEastAsia" w:hAnsiTheme="majorHAnsi" w:cstheme="majorBidi"/>
      <w:color w:val="70AD47" w:themeColor="accent6"/>
    </w:rPr>
  </w:style>
  <w:style w:type="paragraph" w:styleId="Titre7">
    <w:name w:val="heading 7"/>
    <w:basedOn w:val="Normal"/>
    <w:next w:val="Normal"/>
    <w:link w:val="Titre7Car"/>
    <w:uiPriority w:val="9"/>
    <w:semiHidden/>
    <w:unhideWhenUsed/>
    <w:qFormat/>
    <w:rsid w:val="00743BF6"/>
    <w:pPr>
      <w:keepNext/>
      <w:keepLines/>
      <w:spacing w:before="40" w:after="0"/>
      <w:outlineLvl w:val="6"/>
    </w:pPr>
    <w:rPr>
      <w:rFonts w:asciiTheme="majorHAnsi" w:eastAsiaTheme="majorEastAsia" w:hAnsiTheme="majorHAnsi" w:cstheme="majorBidi"/>
      <w:b/>
      <w:bCs/>
      <w:color w:val="70AD47" w:themeColor="accent6"/>
    </w:rPr>
  </w:style>
  <w:style w:type="paragraph" w:styleId="Titre8">
    <w:name w:val="heading 8"/>
    <w:basedOn w:val="Normal"/>
    <w:next w:val="Normal"/>
    <w:link w:val="Titre8Car"/>
    <w:uiPriority w:val="9"/>
    <w:semiHidden/>
    <w:unhideWhenUsed/>
    <w:qFormat/>
    <w:rsid w:val="00743BF6"/>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Titre9">
    <w:name w:val="heading 9"/>
    <w:basedOn w:val="Normal"/>
    <w:next w:val="Normal"/>
    <w:link w:val="Titre9Car"/>
    <w:uiPriority w:val="9"/>
    <w:semiHidden/>
    <w:unhideWhenUsed/>
    <w:qFormat/>
    <w:rsid w:val="00743BF6"/>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743BF6"/>
    <w:pPr>
      <w:autoSpaceDE w:val="0"/>
      <w:autoSpaceDN w:val="0"/>
      <w:adjustRightInd w:val="0"/>
      <w:spacing w:after="0" w:line="240" w:lineRule="auto"/>
    </w:pPr>
    <w:rPr>
      <w:rFonts w:ascii="Calibri" w:hAnsi="Calibri" w:cs="Calibri"/>
      <w:color w:val="000000"/>
      <w:sz w:val="24"/>
      <w:szCs w:val="24"/>
    </w:rPr>
  </w:style>
  <w:style w:type="character" w:customStyle="1" w:styleId="Titre1Car">
    <w:name w:val="Titre 1 Car"/>
    <w:basedOn w:val="Policepardfaut"/>
    <w:link w:val="Titre1"/>
    <w:uiPriority w:val="9"/>
    <w:rsid w:val="00743BF6"/>
    <w:rPr>
      <w:rFonts w:asciiTheme="majorHAnsi" w:eastAsiaTheme="majorEastAsia" w:hAnsiTheme="majorHAnsi" w:cstheme="majorBidi"/>
      <w:color w:val="538135" w:themeColor="accent6" w:themeShade="BF"/>
      <w:sz w:val="40"/>
      <w:szCs w:val="40"/>
    </w:rPr>
  </w:style>
  <w:style w:type="character" w:customStyle="1" w:styleId="Titre2Car">
    <w:name w:val="Titre 2 Car"/>
    <w:basedOn w:val="Policepardfaut"/>
    <w:link w:val="Titre2"/>
    <w:uiPriority w:val="9"/>
    <w:semiHidden/>
    <w:rsid w:val="00743BF6"/>
    <w:rPr>
      <w:rFonts w:asciiTheme="majorHAnsi" w:eastAsiaTheme="majorEastAsia" w:hAnsiTheme="majorHAnsi" w:cstheme="majorBidi"/>
      <w:color w:val="538135" w:themeColor="accent6" w:themeShade="BF"/>
      <w:sz w:val="28"/>
      <w:szCs w:val="28"/>
    </w:rPr>
  </w:style>
  <w:style w:type="character" w:customStyle="1" w:styleId="Titre3Car">
    <w:name w:val="Titre 3 Car"/>
    <w:basedOn w:val="Policepardfaut"/>
    <w:link w:val="Titre3"/>
    <w:uiPriority w:val="9"/>
    <w:semiHidden/>
    <w:rsid w:val="00743BF6"/>
    <w:rPr>
      <w:rFonts w:asciiTheme="majorHAnsi" w:eastAsiaTheme="majorEastAsia" w:hAnsiTheme="majorHAnsi" w:cstheme="majorBidi"/>
      <w:color w:val="538135" w:themeColor="accent6" w:themeShade="BF"/>
      <w:sz w:val="24"/>
      <w:szCs w:val="24"/>
    </w:rPr>
  </w:style>
  <w:style w:type="character" w:customStyle="1" w:styleId="Titre4Car">
    <w:name w:val="Titre 4 Car"/>
    <w:basedOn w:val="Policepardfaut"/>
    <w:link w:val="Titre4"/>
    <w:uiPriority w:val="9"/>
    <w:semiHidden/>
    <w:rsid w:val="00743BF6"/>
    <w:rPr>
      <w:rFonts w:asciiTheme="majorHAnsi" w:eastAsiaTheme="majorEastAsia" w:hAnsiTheme="majorHAnsi" w:cstheme="majorBidi"/>
      <w:color w:val="70AD47" w:themeColor="accent6"/>
      <w:sz w:val="22"/>
      <w:szCs w:val="22"/>
    </w:rPr>
  </w:style>
  <w:style w:type="character" w:customStyle="1" w:styleId="Titre5Car">
    <w:name w:val="Titre 5 Car"/>
    <w:basedOn w:val="Policepardfaut"/>
    <w:link w:val="Titre5"/>
    <w:uiPriority w:val="9"/>
    <w:semiHidden/>
    <w:rsid w:val="00743BF6"/>
    <w:rPr>
      <w:rFonts w:asciiTheme="majorHAnsi" w:eastAsiaTheme="majorEastAsia" w:hAnsiTheme="majorHAnsi" w:cstheme="majorBidi"/>
      <w:i/>
      <w:iCs/>
      <w:color w:val="70AD47" w:themeColor="accent6"/>
      <w:sz w:val="22"/>
      <w:szCs w:val="22"/>
    </w:rPr>
  </w:style>
  <w:style w:type="character" w:customStyle="1" w:styleId="Titre6Car">
    <w:name w:val="Titre 6 Car"/>
    <w:basedOn w:val="Policepardfaut"/>
    <w:link w:val="Titre6"/>
    <w:uiPriority w:val="9"/>
    <w:semiHidden/>
    <w:rsid w:val="00743BF6"/>
    <w:rPr>
      <w:rFonts w:asciiTheme="majorHAnsi" w:eastAsiaTheme="majorEastAsia" w:hAnsiTheme="majorHAnsi" w:cstheme="majorBidi"/>
      <w:color w:val="70AD47" w:themeColor="accent6"/>
    </w:rPr>
  </w:style>
  <w:style w:type="character" w:customStyle="1" w:styleId="Titre7Car">
    <w:name w:val="Titre 7 Car"/>
    <w:basedOn w:val="Policepardfaut"/>
    <w:link w:val="Titre7"/>
    <w:uiPriority w:val="9"/>
    <w:semiHidden/>
    <w:rsid w:val="00743BF6"/>
    <w:rPr>
      <w:rFonts w:asciiTheme="majorHAnsi" w:eastAsiaTheme="majorEastAsia" w:hAnsiTheme="majorHAnsi" w:cstheme="majorBidi"/>
      <w:b/>
      <w:bCs/>
      <w:color w:val="70AD47" w:themeColor="accent6"/>
    </w:rPr>
  </w:style>
  <w:style w:type="character" w:customStyle="1" w:styleId="Titre8Car">
    <w:name w:val="Titre 8 Car"/>
    <w:basedOn w:val="Policepardfaut"/>
    <w:link w:val="Titre8"/>
    <w:uiPriority w:val="9"/>
    <w:semiHidden/>
    <w:rsid w:val="00743BF6"/>
    <w:rPr>
      <w:rFonts w:asciiTheme="majorHAnsi" w:eastAsiaTheme="majorEastAsia" w:hAnsiTheme="majorHAnsi" w:cstheme="majorBidi"/>
      <w:b/>
      <w:bCs/>
      <w:i/>
      <w:iCs/>
      <w:color w:val="70AD47" w:themeColor="accent6"/>
      <w:sz w:val="20"/>
      <w:szCs w:val="20"/>
    </w:rPr>
  </w:style>
  <w:style w:type="character" w:customStyle="1" w:styleId="Titre9Car">
    <w:name w:val="Titre 9 Car"/>
    <w:basedOn w:val="Policepardfaut"/>
    <w:link w:val="Titre9"/>
    <w:uiPriority w:val="9"/>
    <w:semiHidden/>
    <w:rsid w:val="00743BF6"/>
    <w:rPr>
      <w:rFonts w:asciiTheme="majorHAnsi" w:eastAsiaTheme="majorEastAsia" w:hAnsiTheme="majorHAnsi" w:cstheme="majorBidi"/>
      <w:i/>
      <w:iCs/>
      <w:color w:val="70AD47" w:themeColor="accent6"/>
      <w:sz w:val="20"/>
      <w:szCs w:val="20"/>
    </w:rPr>
  </w:style>
  <w:style w:type="paragraph" w:styleId="Lgende">
    <w:name w:val="caption"/>
    <w:basedOn w:val="Normal"/>
    <w:next w:val="Normal"/>
    <w:uiPriority w:val="35"/>
    <w:semiHidden/>
    <w:unhideWhenUsed/>
    <w:qFormat/>
    <w:rsid w:val="00743BF6"/>
    <w:pPr>
      <w:spacing w:line="240" w:lineRule="auto"/>
    </w:pPr>
    <w:rPr>
      <w:b/>
      <w:bCs/>
      <w:smallCaps/>
      <w:color w:val="595959" w:themeColor="text1" w:themeTint="A6"/>
    </w:rPr>
  </w:style>
  <w:style w:type="paragraph" w:styleId="Titre">
    <w:name w:val="Title"/>
    <w:basedOn w:val="Normal"/>
    <w:next w:val="Normal"/>
    <w:link w:val="TitreCar"/>
    <w:uiPriority w:val="10"/>
    <w:qFormat/>
    <w:rsid w:val="00743BF6"/>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reCar">
    <w:name w:val="Titre Car"/>
    <w:basedOn w:val="Policepardfaut"/>
    <w:link w:val="Titre"/>
    <w:uiPriority w:val="10"/>
    <w:rsid w:val="00743BF6"/>
    <w:rPr>
      <w:rFonts w:asciiTheme="majorHAnsi" w:eastAsiaTheme="majorEastAsia" w:hAnsiTheme="majorHAnsi" w:cstheme="majorBidi"/>
      <w:color w:val="262626" w:themeColor="text1" w:themeTint="D9"/>
      <w:spacing w:val="-15"/>
      <w:sz w:val="96"/>
      <w:szCs w:val="96"/>
    </w:rPr>
  </w:style>
  <w:style w:type="paragraph" w:styleId="Sous-titre">
    <w:name w:val="Subtitle"/>
    <w:basedOn w:val="Normal"/>
    <w:next w:val="Normal"/>
    <w:link w:val="Sous-titreCar"/>
    <w:uiPriority w:val="11"/>
    <w:qFormat/>
    <w:rsid w:val="00743BF6"/>
    <w:pPr>
      <w:numPr>
        <w:ilvl w:val="1"/>
      </w:numPr>
      <w:spacing w:line="240" w:lineRule="auto"/>
    </w:pPr>
    <w:rPr>
      <w:rFonts w:asciiTheme="majorHAnsi" w:eastAsiaTheme="majorEastAsia" w:hAnsiTheme="majorHAnsi" w:cstheme="majorBidi"/>
      <w:sz w:val="30"/>
      <w:szCs w:val="30"/>
    </w:rPr>
  </w:style>
  <w:style w:type="character" w:customStyle="1" w:styleId="Sous-titreCar">
    <w:name w:val="Sous-titre Car"/>
    <w:basedOn w:val="Policepardfaut"/>
    <w:link w:val="Sous-titre"/>
    <w:uiPriority w:val="11"/>
    <w:rsid w:val="00743BF6"/>
    <w:rPr>
      <w:rFonts w:asciiTheme="majorHAnsi" w:eastAsiaTheme="majorEastAsia" w:hAnsiTheme="majorHAnsi" w:cstheme="majorBidi"/>
      <w:sz w:val="30"/>
      <w:szCs w:val="30"/>
    </w:rPr>
  </w:style>
  <w:style w:type="character" w:styleId="lev">
    <w:name w:val="Strong"/>
    <w:basedOn w:val="Policepardfaut"/>
    <w:uiPriority w:val="22"/>
    <w:qFormat/>
    <w:rsid w:val="00743BF6"/>
    <w:rPr>
      <w:b/>
      <w:bCs/>
    </w:rPr>
  </w:style>
  <w:style w:type="character" w:styleId="Accentuation">
    <w:name w:val="Emphasis"/>
    <w:basedOn w:val="Policepardfaut"/>
    <w:uiPriority w:val="20"/>
    <w:qFormat/>
    <w:rsid w:val="00743BF6"/>
    <w:rPr>
      <w:i/>
      <w:iCs/>
      <w:color w:val="70AD47" w:themeColor="accent6"/>
    </w:rPr>
  </w:style>
  <w:style w:type="paragraph" w:styleId="Sansinterligne">
    <w:name w:val="No Spacing"/>
    <w:uiPriority w:val="1"/>
    <w:qFormat/>
    <w:rsid w:val="00743BF6"/>
    <w:pPr>
      <w:spacing w:after="0" w:line="240" w:lineRule="auto"/>
    </w:pPr>
  </w:style>
  <w:style w:type="paragraph" w:styleId="Citation">
    <w:name w:val="Quote"/>
    <w:basedOn w:val="Normal"/>
    <w:next w:val="Normal"/>
    <w:link w:val="CitationCar"/>
    <w:uiPriority w:val="29"/>
    <w:qFormat/>
    <w:rsid w:val="00743BF6"/>
    <w:pPr>
      <w:spacing w:before="160"/>
      <w:ind w:left="720" w:right="720"/>
      <w:jc w:val="center"/>
    </w:pPr>
    <w:rPr>
      <w:i/>
      <w:iCs/>
      <w:color w:val="262626" w:themeColor="text1" w:themeTint="D9"/>
    </w:rPr>
  </w:style>
  <w:style w:type="character" w:customStyle="1" w:styleId="CitationCar">
    <w:name w:val="Citation Car"/>
    <w:basedOn w:val="Policepardfaut"/>
    <w:link w:val="Citation"/>
    <w:uiPriority w:val="29"/>
    <w:rsid w:val="00743BF6"/>
    <w:rPr>
      <w:i/>
      <w:iCs/>
      <w:color w:val="262626" w:themeColor="text1" w:themeTint="D9"/>
    </w:rPr>
  </w:style>
  <w:style w:type="paragraph" w:styleId="Citationintense">
    <w:name w:val="Intense Quote"/>
    <w:basedOn w:val="Normal"/>
    <w:next w:val="Normal"/>
    <w:link w:val="CitationintenseCar"/>
    <w:uiPriority w:val="30"/>
    <w:qFormat/>
    <w:rsid w:val="00743BF6"/>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CitationintenseCar">
    <w:name w:val="Citation intense Car"/>
    <w:basedOn w:val="Policepardfaut"/>
    <w:link w:val="Citationintense"/>
    <w:uiPriority w:val="30"/>
    <w:rsid w:val="00743BF6"/>
    <w:rPr>
      <w:rFonts w:asciiTheme="majorHAnsi" w:eastAsiaTheme="majorEastAsia" w:hAnsiTheme="majorHAnsi" w:cstheme="majorBidi"/>
      <w:i/>
      <w:iCs/>
      <w:color w:val="70AD47" w:themeColor="accent6"/>
      <w:sz w:val="32"/>
      <w:szCs w:val="32"/>
    </w:rPr>
  </w:style>
  <w:style w:type="character" w:styleId="Emphaseple">
    <w:name w:val="Subtle Emphasis"/>
    <w:basedOn w:val="Policepardfaut"/>
    <w:uiPriority w:val="19"/>
    <w:qFormat/>
    <w:rsid w:val="00743BF6"/>
    <w:rPr>
      <w:i/>
      <w:iCs/>
    </w:rPr>
  </w:style>
  <w:style w:type="character" w:styleId="Emphaseintense">
    <w:name w:val="Intense Emphasis"/>
    <w:basedOn w:val="Policepardfaut"/>
    <w:uiPriority w:val="21"/>
    <w:qFormat/>
    <w:rsid w:val="00743BF6"/>
    <w:rPr>
      <w:b/>
      <w:bCs/>
      <w:i/>
      <w:iCs/>
    </w:rPr>
  </w:style>
  <w:style w:type="character" w:styleId="Rfrenceple">
    <w:name w:val="Subtle Reference"/>
    <w:basedOn w:val="Policepardfaut"/>
    <w:uiPriority w:val="31"/>
    <w:qFormat/>
    <w:rsid w:val="00743BF6"/>
    <w:rPr>
      <w:smallCaps/>
      <w:color w:val="595959" w:themeColor="text1" w:themeTint="A6"/>
    </w:rPr>
  </w:style>
  <w:style w:type="character" w:styleId="Rfrenceintense">
    <w:name w:val="Intense Reference"/>
    <w:basedOn w:val="Policepardfaut"/>
    <w:uiPriority w:val="32"/>
    <w:qFormat/>
    <w:rsid w:val="00743BF6"/>
    <w:rPr>
      <w:b/>
      <w:bCs/>
      <w:smallCaps/>
      <w:color w:val="70AD47" w:themeColor="accent6"/>
    </w:rPr>
  </w:style>
  <w:style w:type="character" w:styleId="Titredulivre">
    <w:name w:val="Book Title"/>
    <w:basedOn w:val="Policepardfaut"/>
    <w:uiPriority w:val="33"/>
    <w:qFormat/>
    <w:rsid w:val="00743BF6"/>
    <w:rPr>
      <w:b/>
      <w:bCs/>
      <w:caps w:val="0"/>
      <w:smallCaps/>
      <w:spacing w:val="7"/>
      <w:sz w:val="21"/>
      <w:szCs w:val="21"/>
    </w:rPr>
  </w:style>
  <w:style w:type="paragraph" w:styleId="En-ttedetabledesmatires">
    <w:name w:val="TOC Heading"/>
    <w:basedOn w:val="Titre1"/>
    <w:next w:val="Normal"/>
    <w:uiPriority w:val="39"/>
    <w:semiHidden/>
    <w:unhideWhenUsed/>
    <w:qFormat/>
    <w:rsid w:val="00743BF6"/>
    <w:pPr>
      <w:outlineLvl w:val="9"/>
    </w:pPr>
  </w:style>
  <w:style w:type="table" w:styleId="Grilledutableau">
    <w:name w:val="Table Grid"/>
    <w:basedOn w:val="TableauNormal"/>
    <w:uiPriority w:val="39"/>
    <w:rsid w:val="00743B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3</Pages>
  <Words>907</Words>
  <Characters>4989</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Région Hauts-de-France</Company>
  <LinksUpToDate>false</LinksUpToDate>
  <CharactersWithSpaces>5885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Sallah NOUI</dc:creator>
  <cp:lastModifiedBy>lacourt</cp:lastModifiedBy>
  <cp:revision>4</cp:revision>
  <dcterms:created xsi:type="dcterms:W3CDTF">2017-07-28T11:46:00Z</dcterms:created>
  <dcterms:modified xsi:type="dcterms:W3CDTF">2017-07-31T13:11:00Z</dcterms:modified>
</cp:coreProperties>
</file>